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80" w:after="160"/>
      </w:pPr>
      <w:r>
        <w:drawing>
          <wp:inline xmlns:a="http://schemas.openxmlformats.org/drawingml/2006/main" xmlns:pic="http://schemas.openxmlformats.org/drawingml/2006/picture">
            <wp:extent cx="1691640" cy="740093"/>
            <wp:docPr id="1" name="Saylor Clothing Co. logo" title="Saylor Clothing Co. logo" descr="Saylor Clothing Co. logo with hook-shaped S and Est. 2015."/>
            <wp:cNvGraphicFramePr>
              <a:graphicFrameLocks noChangeAspect="1"/>
            </wp:cNvGraphicFramePr>
            <a:graphic>
              <a:graphicData uri="http://schemas.openxmlformats.org/drawingml/2006/picture">
                <pic:pic>
                  <pic:nvPicPr>
                    <pic:cNvPr id="0" name="saylor_logo_official_navy.png"/>
                    <pic:cNvPicPr/>
                  </pic:nvPicPr>
                  <pic:blipFill>
                    <a:blip r:embed="rId11"/>
                    <a:stretch>
                      <a:fillRect/>
                    </a:stretch>
                  </pic:blipFill>
                  <pic:spPr>
                    <a:xfrm>
                      <a:off x="0" y="0"/>
                      <a:ext cx="1691640" cy="740093"/>
                    </a:xfrm>
                    <a:prstGeom prst="rect"/>
                  </pic:spPr>
                </pic:pic>
              </a:graphicData>
            </a:graphic>
          </wp:inline>
        </w:drawing>
      </w:r>
    </w:p>
    <w:p>
      <w:pPr>
        <w:keepNext/>
        <w:spacing w:after="100"/>
      </w:pPr>
      <w:r>
        <w:rPr>
          <w:rFonts w:ascii="Calibri" w:hAnsi="Calibri"/>
          <w:b/>
          <w:i w:val="0"/>
          <w:color w:val="1D3556"/>
          <w:sz w:val="52"/>
        </w:rPr>
        <w:t>Privacy Policy</w:t>
      </w:r>
    </w:p>
    <w:p>
      <w:pPr>
        <w:spacing w:after="320"/>
      </w:pPr>
      <w:r>
        <w:rPr>
          <w:rFonts w:ascii="Calibri" w:hAnsi="Calibri"/>
          <w:b/>
          <w:i w:val="0"/>
          <w:color w:val="5F6873"/>
          <w:sz w:val="21"/>
        </w:rPr>
        <w:t>Effective August 9, 2026  |  Version 1.0</w:t>
      </w:r>
    </w:p>
    <w:p>
      <w:pPr>
        <w:pStyle w:val="PolicyLead"/>
        <w:shd w:fill="F4F6F9"/>
        <w:spacing w:before="100" w:after="240"/>
        <w:ind w:left="202" w:right="202"/>
      </w:pPr>
      <w:r>
        <w:rPr>
          <w:rFonts w:ascii="Calibri" w:hAnsi="Calibri"/>
          <w:b/>
          <w:i w:val="0"/>
          <w:color w:val="1D3556"/>
          <w:sz w:val="21"/>
        </w:rPr>
        <w:t xml:space="preserve">Your privacy matters. </w:t>
      </w:r>
      <w:r>
        <w:rPr>
          <w:rFonts w:ascii="Calibri" w:hAnsi="Calibri"/>
          <w:b w:val="0"/>
          <w:i w:val="0"/>
          <w:color w:val="111111"/>
          <w:sz w:val="21"/>
        </w:rPr>
        <w:t>This Privacy Policy explains how Saylor Clothing Co. ("Saylor," "we," "us," or "our") collects, uses, discloses, and protects personal information when you interact with our website, online store, communications, advertisements, customer service, events, pop-ups, and any future retail locations.</w:t>
      </w:r>
    </w:p>
    <w:p>
      <w:pPr>
        <w:pStyle w:val="Heading1"/>
      </w:pPr>
      <w:r>
        <w:t>1. Scope and Acceptance</w:t>
      </w:r>
    </w:p>
    <w:p>
      <w:pPr>
        <w:keepLines/>
      </w:pPr>
      <w:r>
        <w:rPr>
          <w:rFonts w:ascii="Calibri" w:hAnsi="Calibri"/>
          <w:b w:val="0"/>
          <w:i w:val="0"/>
          <w:color w:val="111111"/>
          <w:sz w:val="21"/>
        </w:rPr>
        <w:t>This Policy applies to personal information Saylor processes about customers, prospective customers, website visitors, subscribers, event visitors, gift recipients, ambassadors and ambassador applicants, and other people who interact with us in the United States. It applies to our Wix-hosted website and store, purchases processed through Wix Payments, fulfillment through Printful or another fulfillment provider, analytics such as Google Analytics, email and SMS marketing, and personalized or retargeted advertising.</w:t>
      </w:r>
    </w:p>
    <w:p>
      <w:pPr>
        <w:keepLines/>
      </w:pPr>
      <w:r>
        <w:rPr>
          <w:rFonts w:ascii="Calibri" w:hAnsi="Calibri"/>
          <w:b w:val="0"/>
          <w:i w:val="0"/>
          <w:color w:val="111111"/>
          <w:sz w:val="21"/>
        </w:rPr>
        <w:t>This Policy does not govern a third party's independent privacy practices, including a website, marketplace, social platform, payment service, or other service linked from our website. Those parties' own privacy notices apply to information they control.</w:t>
      </w:r>
    </w:p>
    <w:p>
      <w:pPr>
        <w:keepLines/>
      </w:pPr>
      <w:r>
        <w:rPr>
          <w:rFonts w:ascii="Calibri" w:hAnsi="Calibri"/>
          <w:b w:val="0"/>
          <w:i w:val="0"/>
          <w:color w:val="111111"/>
          <w:sz w:val="21"/>
        </w:rPr>
        <w:t>By using our services, you acknowledge this Policy. Where law requires consent, we will request it separately. This Policy is not a contract that limits rights provided by applicable law.</w:t>
      </w:r>
    </w:p>
    <w:p>
      <w:pPr>
        <w:pStyle w:val="Heading1"/>
      </w:pPr>
      <w:r>
        <w:t>2. Personal Information We Collect</w:t>
      </w:r>
    </w:p>
    <w:p>
      <w:pPr>
        <w:pStyle w:val="Heading2"/>
      </w:pPr>
      <w:r>
        <w:t>2.1 Information You Provide</w:t>
      </w:r>
    </w:p>
    <w:p>
      <w:pPr>
        <w:pStyle w:val="ListBullet"/>
        <w:keepLines/>
        <w:spacing w:after="120" w:line="280" w:lineRule="auto"/>
        <w:ind w:left="720" w:hanging="360"/>
      </w:pPr>
      <w:r>
        <w:rPr>
          <w:rFonts w:ascii="Calibri" w:hAnsi="Calibri"/>
          <w:b w:val="0"/>
          <w:i w:val="0"/>
          <w:color w:val="111111"/>
          <w:sz w:val="21"/>
        </w:rPr>
        <w:t>Contact and account information, such as name, email address, telephone number, mailing and billing addresses, login credentials, and communication preferences.</w:t>
      </w:r>
    </w:p>
    <w:p>
      <w:pPr>
        <w:pStyle w:val="ListBullet"/>
        <w:keepLines/>
        <w:spacing w:after="120" w:line="280" w:lineRule="auto"/>
        <w:ind w:left="720" w:hanging="360"/>
      </w:pPr>
      <w:r>
        <w:rPr>
          <w:rFonts w:ascii="Calibri" w:hAnsi="Calibri"/>
          <w:b w:val="0"/>
          <w:i w:val="0"/>
          <w:color w:val="111111"/>
          <w:sz w:val="21"/>
        </w:rPr>
        <w:t>Order and transaction information, such as products, sizes, personalization choices, purchase history, gift information, discounts, returns, refunds, exchanges, and customer-service records.</w:t>
      </w:r>
    </w:p>
    <w:p>
      <w:pPr>
        <w:pStyle w:val="ListBullet"/>
        <w:keepLines/>
        <w:spacing w:after="120" w:line="280" w:lineRule="auto"/>
        <w:ind w:left="720" w:hanging="360"/>
      </w:pPr>
      <w:r>
        <w:rPr>
          <w:rFonts w:ascii="Calibri" w:hAnsi="Calibri"/>
          <w:b w:val="0"/>
          <w:i w:val="0"/>
          <w:color w:val="111111"/>
          <w:sz w:val="21"/>
        </w:rPr>
        <w:t>Payment-related information. Wix Payments and its payment partners process payment card and banking information. Saylor generally receives transaction details and limited payment identifiers, not full payment-card numbers.</w:t>
      </w:r>
    </w:p>
    <w:p>
      <w:pPr>
        <w:pStyle w:val="ListBullet"/>
        <w:keepLines/>
        <w:spacing w:after="120" w:line="280" w:lineRule="auto"/>
        <w:ind w:left="720" w:hanging="360"/>
      </w:pPr>
      <w:r>
        <w:rPr>
          <w:rFonts w:ascii="Calibri" w:hAnsi="Calibri"/>
          <w:b w:val="0"/>
          <w:i w:val="0"/>
          <w:color w:val="111111"/>
          <w:sz w:val="21"/>
        </w:rPr>
        <w:t>Communications and content, such as messages, reviews, survey answers, contest entries, photos, social-media interactions, and information submitted through forms.</w:t>
      </w:r>
    </w:p>
    <w:p>
      <w:pPr>
        <w:pStyle w:val="ListBullet"/>
        <w:keepLines/>
        <w:spacing w:after="120" w:line="280" w:lineRule="auto"/>
        <w:ind w:left="720" w:hanging="360"/>
      </w:pPr>
      <w:r>
        <w:rPr>
          <w:rFonts w:ascii="Calibri" w:hAnsi="Calibri"/>
          <w:b w:val="0"/>
          <w:i w:val="0"/>
          <w:color w:val="111111"/>
          <w:sz w:val="21"/>
        </w:rPr>
        <w:t>Ambassador information, such as application responses, social handles, audience information, referral and commission activity, tax or payment details when needed, and submitted designs or content.</w:t>
      </w:r>
    </w:p>
    <w:p>
      <w:pPr>
        <w:pStyle w:val="ListBullet"/>
        <w:keepLines/>
        <w:spacing w:after="120" w:line="280" w:lineRule="auto"/>
        <w:ind w:left="720" w:hanging="360"/>
      </w:pPr>
      <w:r>
        <w:rPr>
          <w:rFonts w:ascii="Calibri" w:hAnsi="Calibri"/>
          <w:b w:val="0"/>
          <w:i w:val="0"/>
          <w:color w:val="111111"/>
          <w:sz w:val="21"/>
        </w:rPr>
        <w:t>In-person information, such as information collected at a pop-up, event, or future retail location, including transaction details, return records, and marketing sign-ups.</w:t>
      </w:r>
    </w:p>
    <w:p>
      <w:pPr>
        <w:pStyle w:val="Heading2"/>
      </w:pPr>
      <w:r>
        <w:t>2.2 Information Collected Automatically</w:t>
      </w:r>
    </w:p>
    <w:p>
      <w:pPr>
        <w:keepLines/>
      </w:pPr>
      <w:r>
        <w:rPr>
          <w:rFonts w:ascii="Calibri" w:hAnsi="Calibri"/>
          <w:b w:val="0"/>
          <w:i w:val="0"/>
          <w:color w:val="111111"/>
          <w:sz w:val="21"/>
        </w:rPr>
        <w:t>When you use our website or interact with our electronic communications or ads, we and our service providers may automatically collect device and activity information. This may include IP address, browser and device type, operating system, device identifiers, approximate location derived from IP address, referring pages, pages viewed, search activity, clicks, cart activity, session timing, marketing attribution, ad interactions, and cookie or similar identifiers.</w:t>
      </w:r>
    </w:p>
    <w:p>
      <w:pPr>
        <w:pStyle w:val="Heading2"/>
      </w:pPr>
      <w:r>
        <w:t>2.3 Information From Other Sources</w:t>
      </w:r>
    </w:p>
    <w:p>
      <w:pPr>
        <w:keepLines/>
      </w:pPr>
      <w:r>
        <w:rPr>
          <w:rFonts w:ascii="Calibri" w:hAnsi="Calibri"/>
          <w:b w:val="0"/>
          <w:i w:val="0"/>
          <w:color w:val="111111"/>
          <w:sz w:val="21"/>
        </w:rPr>
        <w:t>We may receive information from Wix, Wix Payments and payment partners, fulfillment and shipping providers, analytics and advertising partners, social platforms, referral or ambassador tools, fraud-prevention providers, public sources, and people who purchase or send a gift to you. We may combine information from these sources with information we collect directly.</w:t>
      </w:r>
    </w:p>
    <w:p>
      <w:pPr>
        <w:keepLines/>
      </w:pPr>
      <w:r>
        <w:rPr>
          <w:rFonts w:ascii="Calibri" w:hAnsi="Calibri"/>
          <w:b w:val="0"/>
          <w:i w:val="0"/>
          <w:color w:val="111111"/>
          <w:sz w:val="21"/>
        </w:rPr>
        <w:t>If you provide information about another person, such as a gift recipient, you represent that you are authorized to provide it for the intended purpose.</w:t>
      </w:r>
    </w:p>
    <w:p>
      <w:pPr>
        <w:pStyle w:val="Heading1"/>
      </w:pPr>
      <w:r>
        <w:t>3. How We Use Personal Information</w:t>
      </w:r>
    </w:p>
    <w:p>
      <w:pPr>
        <w:keepLines/>
      </w:pPr>
      <w:r>
        <w:rPr>
          <w:rFonts w:ascii="Calibri" w:hAnsi="Calibri"/>
          <w:b w:val="0"/>
          <w:i w:val="0"/>
          <w:color w:val="111111"/>
          <w:sz w:val="21"/>
        </w:rPr>
        <w:t>We may use personal information to:</w:t>
      </w:r>
    </w:p>
    <w:p>
      <w:pPr>
        <w:pStyle w:val="ListBullet"/>
        <w:keepLines/>
        <w:spacing w:after="120" w:line="280" w:lineRule="auto"/>
        <w:ind w:left="720" w:hanging="360"/>
      </w:pPr>
      <w:r>
        <w:rPr>
          <w:rFonts w:ascii="Calibri" w:hAnsi="Calibri"/>
          <w:b w:val="0"/>
          <w:i w:val="0"/>
          <w:color w:val="111111"/>
          <w:sz w:val="21"/>
        </w:rPr>
        <w:t>Provide, operate, personalize, and improve our website, store, products, and customer experience.</w:t>
      </w:r>
    </w:p>
    <w:p>
      <w:pPr>
        <w:pStyle w:val="ListBullet"/>
        <w:keepLines/>
        <w:spacing w:after="120" w:line="280" w:lineRule="auto"/>
        <w:ind w:left="720" w:hanging="360"/>
      </w:pPr>
      <w:r>
        <w:rPr>
          <w:rFonts w:ascii="Calibri" w:hAnsi="Calibri"/>
          <w:b w:val="0"/>
          <w:i w:val="0"/>
          <w:color w:val="111111"/>
          <w:sz w:val="21"/>
        </w:rPr>
        <w:t>Process payments, fulfill and ship orders, provide tracking, manage returns and refunds, and send transactional messages.</w:t>
      </w:r>
    </w:p>
    <w:p>
      <w:pPr>
        <w:pStyle w:val="ListBullet"/>
        <w:keepLines/>
        <w:spacing w:after="120" w:line="280" w:lineRule="auto"/>
        <w:ind w:left="720" w:hanging="360"/>
      </w:pPr>
      <w:r>
        <w:rPr>
          <w:rFonts w:ascii="Calibri" w:hAnsi="Calibri"/>
          <w:b w:val="0"/>
          <w:i w:val="0"/>
          <w:color w:val="111111"/>
          <w:sz w:val="21"/>
        </w:rPr>
        <w:t>Create and administer accounts, loyalty features, promotions, contests, and ambassador relationships.</w:t>
      </w:r>
    </w:p>
    <w:p>
      <w:pPr>
        <w:pStyle w:val="ListBullet"/>
        <w:keepLines/>
        <w:spacing w:after="120" w:line="280" w:lineRule="auto"/>
        <w:ind w:left="720" w:hanging="360"/>
      </w:pPr>
      <w:r>
        <w:rPr>
          <w:rFonts w:ascii="Calibri" w:hAnsi="Calibri"/>
          <w:b w:val="0"/>
          <w:i w:val="0"/>
          <w:color w:val="111111"/>
          <w:sz w:val="21"/>
        </w:rPr>
        <w:t>Respond to questions, provide support, verify requests, and maintain records of our communications.</w:t>
      </w:r>
    </w:p>
    <w:p>
      <w:pPr>
        <w:pStyle w:val="ListBullet"/>
        <w:keepLines/>
        <w:spacing w:after="120" w:line="280" w:lineRule="auto"/>
        <w:ind w:left="720" w:hanging="360"/>
      </w:pPr>
      <w:r>
        <w:rPr>
          <w:rFonts w:ascii="Calibri" w:hAnsi="Calibri"/>
          <w:b w:val="0"/>
          <w:i w:val="0"/>
          <w:color w:val="111111"/>
          <w:sz w:val="21"/>
        </w:rPr>
        <w:t>Send email or SMS marketing when permitted, manage subscriptions, and measure campaign performance.</w:t>
      </w:r>
    </w:p>
    <w:p>
      <w:pPr>
        <w:pStyle w:val="ListBullet"/>
        <w:keepLines/>
        <w:spacing w:after="120" w:line="280" w:lineRule="auto"/>
        <w:ind w:left="720" w:hanging="360"/>
      </w:pPr>
      <w:r>
        <w:rPr>
          <w:rFonts w:ascii="Calibri" w:hAnsi="Calibri"/>
          <w:b w:val="0"/>
          <w:i w:val="0"/>
          <w:color w:val="111111"/>
          <w:sz w:val="21"/>
        </w:rPr>
        <w:t>Analyze website traffic, customer behavior, product demand, and business performance through tools such as Google Analytics.</w:t>
      </w:r>
    </w:p>
    <w:p>
      <w:pPr>
        <w:pStyle w:val="ListBullet"/>
        <w:keepLines/>
        <w:spacing w:after="120" w:line="280" w:lineRule="auto"/>
        <w:ind w:left="720" w:hanging="360"/>
      </w:pPr>
      <w:r>
        <w:rPr>
          <w:rFonts w:ascii="Calibri" w:hAnsi="Calibri"/>
          <w:b w:val="0"/>
          <w:i w:val="0"/>
          <w:color w:val="111111"/>
          <w:sz w:val="21"/>
        </w:rPr>
        <w:t>Select, deliver, measure, and improve advertising, including personalized and retargeted advertising.</w:t>
      </w:r>
    </w:p>
    <w:p>
      <w:pPr>
        <w:pStyle w:val="ListBullet"/>
        <w:keepLines/>
        <w:spacing w:after="120" w:line="280" w:lineRule="auto"/>
        <w:ind w:left="720" w:hanging="360"/>
      </w:pPr>
      <w:r>
        <w:rPr>
          <w:rFonts w:ascii="Calibri" w:hAnsi="Calibri"/>
          <w:b w:val="0"/>
          <w:i w:val="0"/>
          <w:color w:val="111111"/>
          <w:sz w:val="21"/>
        </w:rPr>
        <w:t>Protect customers and Saylor; detect fraud, abuse, security incidents, prohibited conduct, and violations of our terms.</w:t>
      </w:r>
    </w:p>
    <w:p>
      <w:pPr>
        <w:pStyle w:val="ListBullet"/>
        <w:keepLines/>
        <w:spacing w:after="120" w:line="280" w:lineRule="auto"/>
        <w:ind w:left="720" w:hanging="360"/>
      </w:pPr>
      <w:r>
        <w:rPr>
          <w:rFonts w:ascii="Calibri" w:hAnsi="Calibri"/>
          <w:b w:val="0"/>
          <w:i w:val="0"/>
          <w:color w:val="111111"/>
          <w:sz w:val="21"/>
        </w:rPr>
        <w:t>Comply with tax, accounting, reporting, legal, regulatory, insurance, and dispute-resolution obligations; establish or defend legal claims.</w:t>
      </w:r>
    </w:p>
    <w:p>
      <w:pPr>
        <w:pStyle w:val="ListBullet"/>
        <w:keepLines/>
        <w:spacing w:after="120" w:line="280" w:lineRule="auto"/>
        <w:ind w:left="720" w:hanging="360"/>
      </w:pPr>
      <w:r>
        <w:rPr>
          <w:rFonts w:ascii="Calibri" w:hAnsi="Calibri"/>
          <w:b w:val="0"/>
          <w:i w:val="0"/>
          <w:color w:val="111111"/>
          <w:sz w:val="21"/>
        </w:rPr>
        <w:t>Carry out another purpose disclosed when information is collected, with consent where required.</w:t>
      </w:r>
    </w:p>
    <w:p>
      <w:pPr>
        <w:pStyle w:val="Heading1"/>
      </w:pPr>
      <w:r>
        <w:t>4. Cookies, Analytics, and Advertising</w:t>
      </w:r>
    </w:p>
    <w:p>
      <w:pPr>
        <w:keepLines/>
      </w:pPr>
      <w:r>
        <w:rPr>
          <w:rFonts w:ascii="Calibri" w:hAnsi="Calibri"/>
          <w:b w:val="0"/>
          <w:i w:val="0"/>
          <w:color w:val="111111"/>
          <w:sz w:val="21"/>
        </w:rPr>
        <w:t>Our website and partners may use cookies, pixels, tags, local storage, software development kits, and similar technologies. Some technologies are necessary for checkout, security, account access, fraud prevention, preferences, and core site operation. Others support analytics, performance measurement, personalization, and advertising.</w:t>
      </w:r>
    </w:p>
    <w:p>
      <w:pPr>
        <w:keepLines/>
      </w:pPr>
      <w:r>
        <w:rPr>
          <w:rFonts w:ascii="Calibri" w:hAnsi="Calibri"/>
          <w:b w:val="0"/>
          <w:i w:val="0"/>
          <w:color w:val="111111"/>
          <w:sz w:val="21"/>
        </w:rPr>
        <w:t>Google Analytics may collect and analyze information about use of our website. Advertising partners and social platforms may receive online identifiers and activity information to measure campaigns, build or reach audiences, limit ad repetition, and show ads based on visits or interactions across websites or services.</w:t>
      </w:r>
    </w:p>
    <w:p>
      <w:pPr>
        <w:keepLines/>
      </w:pPr>
      <w:r>
        <w:rPr>
          <w:rFonts w:ascii="Calibri" w:hAnsi="Calibri"/>
          <w:b w:val="0"/>
          <w:i w:val="0"/>
          <w:color w:val="111111"/>
          <w:sz w:val="21"/>
        </w:rPr>
        <w:t>You may manage nonessential technologies through any cookie or privacy-preferences control we make available on the website and through browser settings. Blocking cookies may affect site functions. Browser-based Global Privacy Control or another legally recognized opt-out preference signal will be processed where required by applicable law and when received in a supported manner.</w:t>
      </w:r>
    </w:p>
    <w:p>
      <w:pPr>
        <w:keepLines/>
      </w:pPr>
      <w:r>
        <w:rPr>
          <w:rFonts w:ascii="Calibri" w:hAnsi="Calibri"/>
          <w:b w:val="0"/>
          <w:i w:val="0"/>
          <w:color w:val="111111"/>
          <w:sz w:val="21"/>
        </w:rPr>
        <w:t>Opting out of targeted advertising does not stop all advertising. You may still see contextual or nonpersonalized ads, and choices may need to be repeated on another browser or device. We do not currently respond to older browser 'Do Not Track' signals because no uniform response standard applies.</w:t>
      </w:r>
    </w:p>
    <w:p>
      <w:pPr>
        <w:pStyle w:val="Heading1"/>
      </w:pPr>
      <w:r>
        <w:t>5. How We Disclose Personal Information</w:t>
      </w:r>
    </w:p>
    <w:p>
      <w:pPr>
        <w:keepLines/>
      </w:pPr>
      <w:r>
        <w:rPr>
          <w:rFonts w:ascii="Calibri" w:hAnsi="Calibri"/>
          <w:b w:val="0"/>
          <w:i w:val="0"/>
          <w:color w:val="111111"/>
          <w:sz w:val="21"/>
        </w:rPr>
        <w:t>We may disclose personal information to the following recipients for the purposes described in this Policy:</w:t>
      </w:r>
    </w:p>
    <w:p>
      <w:pPr>
        <w:pStyle w:val="ListBullet"/>
        <w:keepLines/>
        <w:spacing w:after="120" w:line="280" w:lineRule="auto"/>
        <w:ind w:left="720" w:hanging="360"/>
      </w:pPr>
      <w:r>
        <w:rPr>
          <w:rFonts w:ascii="Calibri" w:hAnsi="Calibri"/>
          <w:b w:val="0"/>
          <w:i w:val="0"/>
          <w:color w:val="111111"/>
          <w:sz w:val="21"/>
        </w:rPr>
        <w:t>Website, commerce, and payment providers, including Wix, Wix Payments, banks, payment networks, and payment-processing partners.</w:t>
      </w:r>
    </w:p>
    <w:p>
      <w:pPr>
        <w:pStyle w:val="ListBullet"/>
        <w:keepLines/>
        <w:spacing w:after="120" w:line="280" w:lineRule="auto"/>
        <w:ind w:left="720" w:hanging="360"/>
      </w:pPr>
      <w:r>
        <w:rPr>
          <w:rFonts w:ascii="Calibri" w:hAnsi="Calibri"/>
          <w:b w:val="0"/>
          <w:i w:val="0"/>
          <w:color w:val="111111"/>
          <w:sz w:val="21"/>
        </w:rPr>
        <w:t>Fulfillment, production, shipping, logistics, address-validation, and returns providers, including Printful or another provider selected to make and deliver products.</w:t>
      </w:r>
    </w:p>
    <w:p>
      <w:pPr>
        <w:pStyle w:val="ListBullet"/>
        <w:keepLines/>
        <w:spacing w:after="120" w:line="280" w:lineRule="auto"/>
        <w:ind w:left="720" w:hanging="360"/>
      </w:pPr>
      <w:r>
        <w:rPr>
          <w:rFonts w:ascii="Calibri" w:hAnsi="Calibri"/>
          <w:b w:val="0"/>
          <w:i w:val="0"/>
          <w:color w:val="111111"/>
          <w:sz w:val="21"/>
        </w:rPr>
        <w:t>Cloud hosting, data storage, customer support, communications, email, SMS, analytics, security, fraud-prevention, accounting, and professional-service providers.</w:t>
      </w:r>
    </w:p>
    <w:p>
      <w:pPr>
        <w:pStyle w:val="ListBullet"/>
        <w:keepLines/>
        <w:spacing w:after="120" w:line="280" w:lineRule="auto"/>
        <w:ind w:left="720" w:hanging="360"/>
      </w:pPr>
      <w:r>
        <w:rPr>
          <w:rFonts w:ascii="Calibri" w:hAnsi="Calibri"/>
          <w:b w:val="0"/>
          <w:i w:val="0"/>
          <w:color w:val="111111"/>
          <w:sz w:val="21"/>
        </w:rPr>
        <w:t>Advertising, measurement, and social-media partners in connection with personalized advertising, retargeting, attribution, and audience measurement.</w:t>
      </w:r>
    </w:p>
    <w:p>
      <w:pPr>
        <w:pStyle w:val="ListBullet"/>
        <w:keepLines/>
        <w:spacing w:after="120" w:line="280" w:lineRule="auto"/>
        <w:ind w:left="720" w:hanging="360"/>
      </w:pPr>
      <w:r>
        <w:rPr>
          <w:rFonts w:ascii="Calibri" w:hAnsi="Calibri"/>
          <w:b w:val="0"/>
          <w:i w:val="0"/>
          <w:color w:val="111111"/>
          <w:sz w:val="21"/>
        </w:rPr>
        <w:t>Ambassadors, referral partners, or promotion partners when needed to attribute a sale, administer a collaboration, or run a jointly described promotion.</w:t>
      </w:r>
    </w:p>
    <w:p>
      <w:pPr>
        <w:pStyle w:val="ListBullet"/>
        <w:keepLines/>
        <w:spacing w:after="120" w:line="280" w:lineRule="auto"/>
        <w:ind w:left="720" w:hanging="360"/>
      </w:pPr>
      <w:r>
        <w:rPr>
          <w:rFonts w:ascii="Calibri" w:hAnsi="Calibri"/>
          <w:b w:val="0"/>
          <w:i w:val="0"/>
          <w:color w:val="111111"/>
          <w:sz w:val="21"/>
        </w:rPr>
        <w:t>Government authorities, regulators, courts, law enforcement, insurers, advisors, or other parties when reasonably necessary to comply with law, protect rights and safety, prevent fraud, or address a legal claim.</w:t>
      </w:r>
    </w:p>
    <w:p>
      <w:pPr>
        <w:pStyle w:val="ListBullet"/>
        <w:keepLines/>
        <w:spacing w:after="120" w:line="280" w:lineRule="auto"/>
        <w:ind w:left="720" w:hanging="360"/>
      </w:pPr>
      <w:r>
        <w:rPr>
          <w:rFonts w:ascii="Calibri" w:hAnsi="Calibri"/>
          <w:b w:val="0"/>
          <w:i w:val="0"/>
          <w:color w:val="111111"/>
          <w:sz w:val="21"/>
        </w:rPr>
        <w:t>A buyer, investor, lender, successor, or advisor in connection with an actual or proposed merger, financing, asset transfer, reorganization, bankruptcy, or sale of all or part of Saylor.</w:t>
      </w:r>
    </w:p>
    <w:p>
      <w:pPr>
        <w:keepLines/>
      </w:pPr>
      <w:r>
        <w:rPr>
          <w:rFonts w:ascii="Calibri" w:hAnsi="Calibri"/>
          <w:b w:val="0"/>
          <w:i w:val="0"/>
          <w:color w:val="111111"/>
          <w:sz w:val="21"/>
        </w:rPr>
        <w:t>We may also disclose information at your direction or with your consent. We may use and disclose information that has been aggregated or deidentified so that it cannot reasonably be linked to you, and we will not attempt to reidentify deidentified information except as permitted by law.</w:t>
      </w:r>
    </w:p>
    <w:p>
      <w:pPr>
        <w:pStyle w:val="Heading1"/>
      </w:pPr>
      <w:r>
        <w:t>6. Sale, Sharing, and Targeted Advertising</w:t>
      </w:r>
    </w:p>
    <w:p>
      <w:pPr>
        <w:keepLines/>
      </w:pPr>
      <w:r>
        <w:rPr>
          <w:rFonts w:ascii="Calibri" w:hAnsi="Calibri"/>
          <w:b w:val="0"/>
          <w:i w:val="0"/>
          <w:color w:val="111111"/>
          <w:sz w:val="21"/>
        </w:rPr>
        <w:t>Saylor does not sell personal information for money. However, some state privacy laws use broad definitions of 'sale,' 'sharing,' or 'targeted advertising' that may cover our disclosure of online identifiers and activity information to advertising or analytics partners for cross-context behavioral or personalized advertising.</w:t>
      </w:r>
    </w:p>
    <w:p>
      <w:pPr>
        <w:keepLines/>
      </w:pPr>
      <w:r>
        <w:rPr>
          <w:rFonts w:ascii="Calibri" w:hAnsi="Calibri"/>
          <w:b w:val="0"/>
          <w:i w:val="0"/>
          <w:color w:val="111111"/>
          <w:sz w:val="21"/>
        </w:rPr>
        <w:t>To the extent those activities are legally considered a sale, sharing, or targeted advertising, residents with applicable rights may opt out through the cookie/privacy-preferences control on our website or by contacting us as described in Section 14. We do not knowingly sell or share for cross-context behavioral advertising the personal information of anyone under 16.</w:t>
      </w:r>
    </w:p>
    <w:p>
      <w:pPr>
        <w:keepLines/>
      </w:pPr>
      <w:r>
        <w:rPr>
          <w:rFonts w:ascii="Calibri" w:hAnsi="Calibri"/>
          <w:b w:val="0"/>
          <w:i w:val="0"/>
          <w:color w:val="111111"/>
          <w:sz w:val="21"/>
        </w:rPr>
        <w:t>We do not use or disclose sensitive personal information to infer characteristics about an individual. Payment information is used to complete transactions, and account credentials are used to provide and secure accounts.</w:t>
      </w:r>
    </w:p>
    <w:p>
      <w:pPr>
        <w:pStyle w:val="Heading1"/>
      </w:pPr>
      <w:r>
        <w:t>7. Email and SMS Marketing</w:t>
      </w:r>
    </w:p>
    <w:p>
      <w:pPr>
        <w:keepLines/>
      </w:pPr>
      <w:r>
        <w:rPr>
          <w:rFonts w:ascii="Calibri" w:hAnsi="Calibri"/>
          <w:b/>
          <w:i w:val="0"/>
          <w:color w:val="111111"/>
          <w:sz w:val="21"/>
        </w:rPr>
        <w:t xml:space="preserve">Email. </w:t>
      </w:r>
      <w:r>
        <w:rPr>
          <w:rFonts w:ascii="Calibri" w:hAnsi="Calibri"/>
          <w:b w:val="0"/>
          <w:i w:val="0"/>
          <w:color w:val="111111"/>
          <w:sz w:val="21"/>
        </w:rPr>
        <w:t>You may unsubscribe from marketing email by using the unsubscribe link in a message. We may continue sending nonmarketing messages, such as order, shipping, security, account, return, or policy notices. Marketing email will be handled in accordance with applicable law.</w:t>
      </w:r>
    </w:p>
    <w:p>
      <w:pPr>
        <w:keepLines/>
      </w:pPr>
      <w:r>
        <w:rPr>
          <w:rFonts w:ascii="Calibri" w:hAnsi="Calibri"/>
          <w:b/>
          <w:i w:val="0"/>
          <w:color w:val="111111"/>
          <w:sz w:val="21"/>
        </w:rPr>
        <w:t xml:space="preserve">SMS. </w:t>
      </w:r>
      <w:r>
        <w:rPr>
          <w:rFonts w:ascii="Calibri" w:hAnsi="Calibri"/>
          <w:b w:val="0"/>
          <w:i w:val="0"/>
          <w:color w:val="111111"/>
          <w:sz w:val="21"/>
        </w:rPr>
        <w:t>We will send marketing text messages only with the consent required by law. Consent to marketing texts is not a condition of purchase. Message frequency may vary; message and data rates may apply. You may opt out by replying STOP or using another reasonable method described in a message. Reply HELP for assistance when that option is available. Carriers are not liable for delayed or undelivered messages.</w:t>
      </w:r>
    </w:p>
    <w:p>
      <w:pPr>
        <w:keepLines/>
      </w:pPr>
      <w:r>
        <w:rPr>
          <w:rFonts w:ascii="Calibri" w:hAnsi="Calibri"/>
          <w:b w:val="0"/>
          <w:i w:val="0"/>
          <w:color w:val="111111"/>
          <w:sz w:val="21"/>
        </w:rPr>
        <w:t>Unsubscribing from one channel does not automatically unsubscribe you from another. We may retain limited suppression information to honor an opt-out.</w:t>
      </w:r>
    </w:p>
    <w:p>
      <w:pPr>
        <w:pStyle w:val="Heading1"/>
      </w:pPr>
      <w:r>
        <w:t>8. Data Retention</w:t>
      </w:r>
    </w:p>
    <w:p>
      <w:pPr>
        <w:keepLines/>
      </w:pPr>
      <w:r>
        <w:rPr>
          <w:rFonts w:ascii="Calibri" w:hAnsi="Calibri"/>
          <w:b w:val="0"/>
          <w:i w:val="0"/>
          <w:color w:val="111111"/>
          <w:sz w:val="21"/>
        </w:rPr>
        <w:t>We retain personal information for as long as reasonably necessary for the purposes described in this Policy, including to provide services, maintain transaction and warranty records, comply with tax and accounting duties, prevent fraud, enforce agreements, resolve disputes, and establish or defend legal claims. Retention periods vary by the type of information, our relationship with you, legal requirements, risk, and technical constraints.</w:t>
      </w:r>
    </w:p>
    <w:p>
      <w:pPr>
        <w:keepLines/>
      </w:pPr>
      <w:r>
        <w:rPr>
          <w:rFonts w:ascii="Calibri" w:hAnsi="Calibri"/>
          <w:b w:val="0"/>
          <w:i w:val="0"/>
          <w:color w:val="111111"/>
          <w:sz w:val="21"/>
        </w:rPr>
        <w:t>When information is no longer reasonably needed, we may delete, deidentify, or aggregate it. Copies may remain for a limited period in backups or where retention is required or permitted by law.</w:t>
      </w:r>
    </w:p>
    <w:p>
      <w:pPr>
        <w:pStyle w:val="Heading1"/>
      </w:pPr>
      <w:r>
        <w:t>9. Data Security</w:t>
      </w:r>
    </w:p>
    <w:p>
      <w:pPr>
        <w:keepLines/>
      </w:pPr>
      <w:r>
        <w:rPr>
          <w:rFonts w:ascii="Calibri" w:hAnsi="Calibri"/>
          <w:b w:val="0"/>
          <w:i w:val="0"/>
          <w:color w:val="111111"/>
          <w:sz w:val="21"/>
        </w:rPr>
        <w:t>We use reasonable administrative, technical, and physical safeguards designed to protect personal information. We also rely on providers such as Wix, payment processors, and fulfillment partners to protect information they process. No system, transmission, or storage method is completely secure, and we cannot guarantee absolute security.</w:t>
      </w:r>
    </w:p>
    <w:p>
      <w:pPr>
        <w:keepLines/>
      </w:pPr>
      <w:r>
        <w:rPr>
          <w:rFonts w:ascii="Calibri" w:hAnsi="Calibri"/>
          <w:b w:val="0"/>
          <w:i w:val="0"/>
          <w:color w:val="111111"/>
          <w:sz w:val="21"/>
        </w:rPr>
        <w:t>Protect your account credentials and contact us promptly if you suspect unauthorized activity. If a security incident requires notice under applicable law, we will provide notice as required.</w:t>
      </w:r>
    </w:p>
    <w:p>
      <w:pPr>
        <w:pStyle w:val="Heading1"/>
      </w:pPr>
      <w:r>
        <w:t>10. Your Privacy Choices and Rights</w:t>
      </w:r>
    </w:p>
    <w:p>
      <w:pPr>
        <w:keepLines/>
      </w:pPr>
      <w:r>
        <w:rPr>
          <w:rFonts w:ascii="Calibri" w:hAnsi="Calibri"/>
          <w:b w:val="0"/>
          <w:i w:val="0"/>
          <w:color w:val="111111"/>
          <w:sz w:val="21"/>
        </w:rPr>
        <w:t>Depending on where you live and subject to exceptions, applicable state law may provide rights to know or access personal information; confirm whether we process it; correct inaccuracies; delete information; obtain a portable copy; opt out of sale, sharing, targeted advertising, or certain profiling; limit certain uses of sensitive information; and appeal a denied request.</w:t>
      </w:r>
    </w:p>
    <w:p>
      <w:pPr>
        <w:keepLines/>
      </w:pPr>
      <w:r>
        <w:rPr>
          <w:rFonts w:ascii="Calibri" w:hAnsi="Calibri"/>
          <w:b w:val="0"/>
          <w:i w:val="0"/>
          <w:color w:val="111111"/>
          <w:sz w:val="21"/>
        </w:rPr>
        <w:t>You may also manage marketing preferences, cookie choices, and account information as described in this Policy. We will not unlawfully discriminate against you for exercising an applicable privacy right, although a choice may affect a feature that requires the information.</w:t>
      </w:r>
    </w:p>
    <w:p>
      <w:pPr>
        <w:keepLines/>
      </w:pPr>
      <w:r>
        <w:rPr>
          <w:rFonts w:ascii="Calibri" w:hAnsi="Calibri"/>
          <w:b w:val="0"/>
          <w:i w:val="0"/>
          <w:color w:val="111111"/>
          <w:sz w:val="21"/>
        </w:rPr>
        <w:t>To submit a request, use the privacy request method, customer-service email address, or Contact Us form published on our website and clearly state that the request concerns privacy. Describe the right you want to exercise and provide enough information for us to locate relevant records. We may verify identity by matching information we maintain or requesting additional information. Authorized agents may submit requests where permitted, but we may require proof of authority and identity verification. We will respond within the time required by applicable law.</w:t>
      </w:r>
    </w:p>
    <w:p>
      <w:pPr>
        <w:keepLines/>
      </w:pPr>
      <w:r>
        <w:rPr>
          <w:rFonts w:ascii="Calibri" w:hAnsi="Calibri"/>
          <w:b w:val="0"/>
          <w:i w:val="0"/>
          <w:color w:val="111111"/>
          <w:sz w:val="21"/>
        </w:rPr>
        <w:t>If we deny a request and your law provides an appeal right, you may appeal by replying to our decision or using the same contact method with 'Privacy Appeal' in the subject or message. You may also contact your state attorney general where applicable.</w:t>
      </w:r>
    </w:p>
    <w:p>
      <w:pPr>
        <w:pStyle w:val="Heading1"/>
      </w:pPr>
      <w:r>
        <w:t>11. Children's Privacy</w:t>
      </w:r>
    </w:p>
    <w:p>
      <w:pPr>
        <w:keepLines/>
      </w:pPr>
      <w:r>
        <w:rPr>
          <w:rFonts w:ascii="Calibri" w:hAnsi="Calibri"/>
          <w:b w:val="0"/>
          <w:i w:val="0"/>
          <w:color w:val="111111"/>
          <w:sz w:val="21"/>
        </w:rPr>
        <w:t>Our website and services are intended for a general audience and are not directed to children under 13. We do not knowingly collect personal information online from children under 13. If you believe a child under 13 provided personal information to us, contact us so we can investigate and delete it where required.</w:t>
      </w:r>
    </w:p>
    <w:p>
      <w:pPr>
        <w:keepLines/>
      </w:pPr>
      <w:r>
        <w:rPr>
          <w:rFonts w:ascii="Calibri" w:hAnsi="Calibri"/>
          <w:b w:val="0"/>
          <w:i w:val="0"/>
          <w:color w:val="111111"/>
          <w:sz w:val="21"/>
        </w:rPr>
        <w:t>We do not knowingly sell or share for cross-context behavioral advertising personal information of consumers under 16. A parent or legal guardian may contact us regarding a minor's information.</w:t>
      </w:r>
    </w:p>
    <w:p>
      <w:pPr>
        <w:pStyle w:val="Heading1"/>
      </w:pPr>
      <w:r>
        <w:t>12. United States Processing</w:t>
      </w:r>
    </w:p>
    <w:p>
      <w:pPr>
        <w:keepLines/>
      </w:pPr>
      <w:r>
        <w:rPr>
          <w:rFonts w:ascii="Calibri" w:hAnsi="Calibri"/>
          <w:b w:val="0"/>
          <w:i w:val="0"/>
          <w:color w:val="111111"/>
          <w:sz w:val="21"/>
        </w:rPr>
        <w:t>Saylor currently sells and markets products in the United States. Personal information may be processed and stored in any U.S. location where we or our providers operate. If you access our services from outside the United States, you understand that information may be transferred to and processed in the United States, subject to applicable law.</w:t>
      </w:r>
    </w:p>
    <w:p>
      <w:pPr>
        <w:pStyle w:val="Heading1"/>
      </w:pPr>
      <w:r>
        <w:t>13. Third-Party Services and Links</w:t>
      </w:r>
    </w:p>
    <w:p>
      <w:pPr>
        <w:keepLines/>
      </w:pPr>
      <w:r>
        <w:rPr>
          <w:rFonts w:ascii="Calibri" w:hAnsi="Calibri"/>
          <w:b w:val="0"/>
          <w:i w:val="0"/>
          <w:color w:val="111111"/>
          <w:sz w:val="21"/>
        </w:rPr>
        <w:t>Our services may link to or integrate with third-party websites, apps, social networks, payment options, or services. A third party may collect information directly from you and act under its own privacy policy. We are not responsible for a third party's independent practices. Review the privacy terms of Wix, Google, Printful, payment partners, social platforms, and any other service you choose to use.</w:t>
      </w:r>
    </w:p>
    <w:p>
      <w:pPr>
        <w:pStyle w:val="Heading1"/>
      </w:pPr>
      <w:r>
        <w:t>14. Contact Us</w:t>
      </w:r>
    </w:p>
    <w:p>
      <w:pPr>
        <w:keepLines/>
      </w:pPr>
      <w:r>
        <w:rPr>
          <w:rFonts w:ascii="Calibri" w:hAnsi="Calibri"/>
          <w:b w:val="0"/>
          <w:i w:val="0"/>
          <w:color w:val="111111"/>
          <w:sz w:val="21"/>
        </w:rPr>
        <w:t>For privacy questions, requests, or complaints, use the customer-service email address, designated privacy request method, or Contact Us form published on Saylor's website. Please identify the request as a privacy matter. We may need to authenticate a request before disclosing or changing personal information.</w:t>
      </w:r>
    </w:p>
    <w:p>
      <w:pPr>
        <w:keepLines/>
      </w:pPr>
      <w:r>
        <w:rPr>
          <w:rFonts w:ascii="Calibri" w:hAnsi="Calibri"/>
          <w:b w:val="0"/>
          <w:i w:val="0"/>
          <w:color w:val="111111"/>
          <w:sz w:val="21"/>
        </w:rPr>
        <w:t>Saylor Clothing Co. will include a valid business mailing address in commercial email and will provide additional contact or identity information when applicable law requires it. Do not send full payment-card numbers, government identification numbers, passwords, or other highly sensitive information through an unsecured contact form or ordinary email.</w:t>
      </w:r>
    </w:p>
    <w:p>
      <w:pPr>
        <w:pStyle w:val="Heading1"/>
      </w:pPr>
      <w:r>
        <w:t>15. Changes to This Policy</w:t>
      </w:r>
    </w:p>
    <w:p>
      <w:pPr>
        <w:keepLines/>
      </w:pPr>
      <w:r>
        <w:rPr>
          <w:rFonts w:ascii="Calibri" w:hAnsi="Calibri"/>
          <w:b w:val="0"/>
          <w:i w:val="0"/>
          <w:color w:val="111111"/>
          <w:sz w:val="21"/>
        </w:rPr>
        <w:t>We may update this Policy to reflect changes in our practices, technologies, providers, products, or legal obligations. We will post the updated version and revise the effective date. If a change is material, we may provide additional notice as appropriate, such as a website notice or email. We will obtain consent before applying a change retroactively when applicable law requires consent.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F6873"/>
        <w:sz w:val="18"/>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i w:val="0"/>
        <w:color w:val="1D3556"/>
        <w:sz w:val="17"/>
      </w:rPr>
      <w:t>SAYLOR CLOTHING CO.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1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D3556"/>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D355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D355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Lead">
    <w:name w:val="Policy Lead"/>
    <w:pPr>
      <w:spacing w:after="240" w:line="276" w:lineRule="auto"/>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Saylor Clothing Co. Privacy Policy</dc:title>
  <dc:subject>Privacy practices for Saylor Clothing Co. online and in-person operations</dc:subject>
  <dc:creator>Saylor Clothing Co.</dc:creator>
  <cp:keywords>privacy policy, ecommerce, Wix, analytics, advertising</cp:keywords>
  <dc:description>generated by python-docx</dc:description>
  <cp:lastModifiedBy/>
  <cp:revision>1</cp:revision>
  <dcterms:created xsi:type="dcterms:W3CDTF">2013-12-23T23:15:00Z</dcterms:created>
  <dcterms:modified xsi:type="dcterms:W3CDTF">2013-12-23T23:15:00Z</dcterms:modified>
  <cp:category/>
</cp:coreProperties>
</file>